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955E74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Маяк</w:t>
            </w:r>
            <w:r w:rsidR="00DD5936" w:rsidRPr="00DD5936">
              <w:rPr>
                <w:color w:val="000000"/>
              </w:rPr>
              <w:t xml:space="preserve"> </w:t>
            </w:r>
          </w:p>
        </w:tc>
        <w:tc>
          <w:tcPr>
            <w:tcW w:w="8433" w:type="dxa"/>
          </w:tcPr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 xml:space="preserve">Предназначен для информирования людей с потерей зрения об их местонахождении с возможностью получения дополнительных сведений о близлежащих объектах либо в виде предварительно записанных на базовые блоки индивидуальных сообщений, либо через трансляционную сеть “Громкая связь” учреждения. В режиме ожидания базовые блоки (маяки) навигационной системы должен получать и </w:t>
            </w:r>
            <w:proofErr w:type="gramStart"/>
            <w:r>
              <w:t>воспроизводить  сигнал</w:t>
            </w:r>
            <w:proofErr w:type="gramEnd"/>
            <w:r>
              <w:t xml:space="preserve"> от общей трансляционной сети учреждения. Должна быть предусмотрена возможность подключения к вазовому блоку браслета-активатора, который по нажатию на одну из кнопок активирует воспроизведение соответствующего сигнала на базовом блоке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системы (звуковом маяке).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В комплект поставки навигационной системы для слепых должно входить: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Базовый блок – не менее 1 шт.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Кнопка настенная антивандальная беспроводная - не менее 1 шт.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Внешний микрофон для записи сообщений – не менее 1 шт.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Руководство пользователя (паспорт) на русском языке – не менее 1 шт.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Гарантийный талон на сервисное обслуживание – не менее 1 шт.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Функциональные возможности: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1) Возможность активации одного из трех предварительно записанных сообщений во встроенную память звукового маяка нажатием беспроводной кнопки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2) Возможность переноса информационных сообщений из персонального компьютера в базовый блок посредством USB-</w:t>
            </w:r>
            <w:proofErr w:type="spellStart"/>
            <w:r>
              <w:t>флеш</w:t>
            </w:r>
            <w:proofErr w:type="spellEnd"/>
            <w:r>
              <w:t xml:space="preserve"> накопителя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3) Возможность записи информационных сообщений при помощи встроенного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микрофона, внешнего микрофона (должны входить в комплект поставки) через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линейный вход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4) Возможность изменения громкости воспроизводимых сообщений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 xml:space="preserve">5) Голосовая индикация режимов работы на русском языке, в </w:t>
            </w:r>
            <w:proofErr w:type="spellStart"/>
            <w:r>
              <w:t>т.ч</w:t>
            </w:r>
            <w:proofErr w:type="spellEnd"/>
            <w:r>
              <w:t>. при настройке базового блока, записи сообщений на базовый блок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6) 3 кнопки на корпусе базового блока для активации режима проигрывания 3 разных записанных сообщений по нажатию на кнопку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7) Возможность в режиме ожидания использовать базовые блоки (маяки) навигационной системы в качестве обычных громкоговорителей общей трансляционной сети учреждения “Громкая связь” (80-120 В) -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8) Возможность эксплуатации базовых блоков на улице круглогодично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(морозоустойчивость до -40С, защита от дождя)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9) Работа от встроенного источника резервного питания при пропадании основного питания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Технические характеристики базового блока: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Рабочая частота - 433,92 МГц ± 0,2%.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Напряжение питания – 220В, с частотой 50 Гц.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Объем встроенной памяти базового блока для записи сообщений, не менее: 2 Гб.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Разъем подключения к трансляционной линии учреждения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Напряжение сигнала линии трансляционной сети учреждения – не уже диапазона 80 В ÷ 120 В.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Встроенный согласующий трансформатор – наличие.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Тип разъема для подключения к трансляционной сети учреждения - винтовые клеммы.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 xml:space="preserve">Уровень </w:t>
            </w:r>
            <w:proofErr w:type="gramStart"/>
            <w:r>
              <w:t>максимального звукового давления</w:t>
            </w:r>
            <w:proofErr w:type="gramEnd"/>
            <w:r>
              <w:t xml:space="preserve"> излучаемого динамиком базового блока в диапазоне частот от 150 до 8000Гц должен составлять не менее 100дБ.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Резервное питание базового блока – от встроенного аккумулятора.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lastRenderedPageBreak/>
              <w:t>Тип аккумулятора базового блока (для осуществления функций резервного питания) – свинцовый.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2 Температурный диапазон эксплуатации базовых блоков при сохранении функций резервного питания: не уже диапазона от -40 до +40 С.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Напряжение встроенного аккумулятора - не более 12 В.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Потребляемый ток (базовый блок):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- в режиме сна не более 50 мА;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- в режиме ожидания не более 70 мА;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- в режиме воспроизведения аудиоинформации не более 140 мА.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Габаритные размеры (базовый блок) - не более 250х190х190 мм (</w:t>
            </w:r>
            <w:proofErr w:type="spellStart"/>
            <w:r>
              <w:t>ДхШхВ</w:t>
            </w:r>
            <w:proofErr w:type="spellEnd"/>
            <w:r>
              <w:t>).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 xml:space="preserve">Технические антивандальной беспроводной </w:t>
            </w:r>
            <w:proofErr w:type="gramStart"/>
            <w:r>
              <w:t>кнопки :</w:t>
            </w:r>
            <w:proofErr w:type="gramEnd"/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Габариты (высота х ширина х глубина), мм - не менее 124х124х22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Вес с элементом питания, грамм - не более 100гр.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Рабочая частота - 433,92МГц (разрешенный в РФ частотный диапазон).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Дальность передачи сигнала при условии прямой видимости и отсутствии радиопомех, метров: не менее 70 метров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Диаметр активной зоны нажатия кнопки, мм – не менее 70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Возможность легкой активации кнопки локтем или культей - наличие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 xml:space="preserve">Тип элемента питания: CR2 </w:t>
            </w:r>
            <w:proofErr w:type="spellStart"/>
            <w:r>
              <w:t>Lithium</w:t>
            </w:r>
            <w:proofErr w:type="spellEnd"/>
            <w:r>
              <w:t xml:space="preserve"> или аналог (должен входить в комплект поставки).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Напряжение элемента питания, Вольт – не более 3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Класс защиты – не хуже IP44/IK10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Звуковое подтверждение передачи сигнала – наличие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Количество подтверждающих звуковых сигналов при передаче вызова, вне зависимости от длительности нажатия на кнопку – не менее 3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Световое подтверждение передачи сигнала – наличие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Цвет светового подтверждения передачи сигнала – желтый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Длительность световых сигналов подтверждения, вне зависимости от длительности нажатия на кнопку, секунд – не менее 4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Диаметр зоны светового подтверждения, мм – не менее 40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Длительность передачи сигнала, вне зависимости от длительности нажатия на кнопку, секунд – не менее 3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Надпись на поверхности кнопки на русском языке – «ИНФОРМАЦИЯ» или аналог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Надпись на поверхности кнопки шрифтом Брайля на русском языке – «ИНФО» или аналог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Цвет корпуса кнопки - серый.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Цвет активной зоны нажатия - зеленый.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Время работы без замены элемента питания при среднем количестве вызовов помощника 5 раз в сутки – не менее 1 года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Температурный диапазон - не уже минус 35 плюс 55 градусов Цельсия</w:t>
            </w:r>
          </w:p>
          <w:p w:rsidR="00955E74" w:rsidRDefault="00955E74" w:rsidP="00955E74">
            <w:pPr>
              <w:tabs>
                <w:tab w:val="left" w:pos="11889"/>
              </w:tabs>
              <w:jc w:val="left"/>
            </w:pPr>
            <w:r>
              <w:t>Запись звуковых сообщений на базовые блоки должны осуществлять сотрудники</w:t>
            </w:r>
          </w:p>
          <w:p w:rsidR="00E630B5" w:rsidRPr="00120BFC" w:rsidRDefault="00955E74" w:rsidP="00955E74">
            <w:pPr>
              <w:tabs>
                <w:tab w:val="left" w:pos="11889"/>
              </w:tabs>
              <w:jc w:val="left"/>
            </w:pPr>
            <w:r>
              <w:t>поставщика после монтажа устройств.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396984"/>
    <w:rsid w:val="005D3189"/>
    <w:rsid w:val="006F2890"/>
    <w:rsid w:val="00955E74"/>
    <w:rsid w:val="009F133A"/>
    <w:rsid w:val="00AA2172"/>
    <w:rsid w:val="00AA3059"/>
    <w:rsid w:val="00AF1707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11</cp:revision>
  <dcterms:created xsi:type="dcterms:W3CDTF">2017-12-25T05:58:00Z</dcterms:created>
  <dcterms:modified xsi:type="dcterms:W3CDTF">2018-02-06T16:30:00Z</dcterms:modified>
</cp:coreProperties>
</file>